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35BD" w14:textId="77777777" w:rsidR="0078411F" w:rsidRPr="0078411F" w:rsidRDefault="0078411F" w:rsidP="0078411F">
      <w:pPr>
        <w:pBdr>
          <w:bottom w:val="single" w:sz="12" w:space="3" w:color="0065A2"/>
        </w:pBdr>
        <w:shd w:val="clear" w:color="auto" w:fill="FFFFFF"/>
        <w:spacing w:before="150" w:after="150" w:line="240" w:lineRule="auto"/>
        <w:outlineLvl w:val="0"/>
        <w:rPr>
          <w:rFonts w:ascii="inherit" w:eastAsia="Times New Roman" w:hAnsi="inherit" w:cs="Times New Roman"/>
          <w:color w:val="113355"/>
          <w:kern w:val="36"/>
          <w:sz w:val="27"/>
          <w:szCs w:val="29"/>
          <w:lang w:eastAsia="it-IT"/>
        </w:rPr>
      </w:pPr>
      <w:proofErr w:type="spellStart"/>
      <w:r w:rsidRPr="0078411F">
        <w:rPr>
          <w:rFonts w:ascii="inherit" w:eastAsia="Times New Roman" w:hAnsi="inherit" w:cs="Times New Roman"/>
          <w:color w:val="113355"/>
          <w:kern w:val="36"/>
          <w:sz w:val="27"/>
          <w:szCs w:val="29"/>
          <w:lang w:eastAsia="it-IT"/>
        </w:rPr>
        <w:t>Descriptors</w:t>
      </w:r>
      <w:proofErr w:type="spellEnd"/>
      <w:r w:rsidRPr="0078411F">
        <w:rPr>
          <w:rFonts w:ascii="inherit" w:eastAsia="Times New Roman" w:hAnsi="inherit" w:cs="Times New Roman"/>
          <w:color w:val="113355"/>
          <w:kern w:val="36"/>
          <w:sz w:val="27"/>
          <w:szCs w:val="29"/>
          <w:lang w:eastAsia="it-IT"/>
        </w:rPr>
        <w:t xml:space="preserve"> </w:t>
      </w:r>
      <w:proofErr w:type="spellStart"/>
      <w:r w:rsidRPr="0078411F">
        <w:rPr>
          <w:rFonts w:ascii="inherit" w:eastAsia="Times New Roman" w:hAnsi="inherit" w:cs="Times New Roman"/>
          <w:color w:val="113355"/>
          <w:kern w:val="36"/>
          <w:sz w:val="27"/>
          <w:szCs w:val="29"/>
          <w:lang w:eastAsia="it-IT"/>
        </w:rPr>
        <w:t>defining</w:t>
      </w:r>
      <w:proofErr w:type="spellEnd"/>
      <w:r w:rsidRPr="0078411F">
        <w:rPr>
          <w:rFonts w:ascii="inherit" w:eastAsia="Times New Roman" w:hAnsi="inherit" w:cs="Times New Roman"/>
          <w:color w:val="113355"/>
          <w:kern w:val="36"/>
          <w:sz w:val="27"/>
          <w:szCs w:val="29"/>
          <w:lang w:eastAsia="it-IT"/>
        </w:rPr>
        <w:t xml:space="preserve"> </w:t>
      </w:r>
      <w:proofErr w:type="spellStart"/>
      <w:r w:rsidRPr="0078411F">
        <w:rPr>
          <w:rFonts w:ascii="inherit" w:eastAsia="Times New Roman" w:hAnsi="inherit" w:cs="Times New Roman"/>
          <w:color w:val="113355"/>
          <w:kern w:val="36"/>
          <w:sz w:val="27"/>
          <w:szCs w:val="29"/>
          <w:lang w:eastAsia="it-IT"/>
        </w:rPr>
        <w:t>levels</w:t>
      </w:r>
      <w:proofErr w:type="spellEnd"/>
      <w:r w:rsidRPr="0078411F">
        <w:rPr>
          <w:rFonts w:ascii="inherit" w:eastAsia="Times New Roman" w:hAnsi="inherit" w:cs="Times New Roman"/>
          <w:color w:val="113355"/>
          <w:kern w:val="36"/>
          <w:sz w:val="27"/>
          <w:szCs w:val="29"/>
          <w:lang w:eastAsia="it-IT"/>
        </w:rPr>
        <w:t xml:space="preserve"> in the </w:t>
      </w:r>
      <w:proofErr w:type="spellStart"/>
      <w:r w:rsidRPr="0078411F">
        <w:rPr>
          <w:rFonts w:ascii="inherit" w:eastAsia="Times New Roman" w:hAnsi="inherit" w:cs="Times New Roman"/>
          <w:color w:val="113355"/>
          <w:kern w:val="36"/>
          <w:sz w:val="27"/>
          <w:szCs w:val="29"/>
          <w:lang w:eastAsia="it-IT"/>
        </w:rPr>
        <w:t>European</w:t>
      </w:r>
      <w:proofErr w:type="spellEnd"/>
      <w:r w:rsidRPr="0078411F">
        <w:rPr>
          <w:rFonts w:ascii="inherit" w:eastAsia="Times New Roman" w:hAnsi="inherit" w:cs="Times New Roman"/>
          <w:color w:val="113355"/>
          <w:kern w:val="36"/>
          <w:sz w:val="27"/>
          <w:szCs w:val="29"/>
          <w:lang w:eastAsia="it-IT"/>
        </w:rPr>
        <w:t xml:space="preserve"> </w:t>
      </w:r>
      <w:proofErr w:type="spellStart"/>
      <w:r w:rsidRPr="0078411F">
        <w:rPr>
          <w:rFonts w:ascii="inherit" w:eastAsia="Times New Roman" w:hAnsi="inherit" w:cs="Times New Roman"/>
          <w:color w:val="113355"/>
          <w:kern w:val="36"/>
          <w:sz w:val="27"/>
          <w:szCs w:val="29"/>
          <w:lang w:eastAsia="it-IT"/>
        </w:rPr>
        <w:t>Qualifications</w:t>
      </w:r>
      <w:proofErr w:type="spellEnd"/>
      <w:r w:rsidRPr="0078411F">
        <w:rPr>
          <w:rFonts w:ascii="inherit" w:eastAsia="Times New Roman" w:hAnsi="inherit" w:cs="Times New Roman"/>
          <w:color w:val="113355"/>
          <w:kern w:val="36"/>
          <w:sz w:val="27"/>
          <w:szCs w:val="29"/>
          <w:lang w:eastAsia="it-IT"/>
        </w:rPr>
        <w:t xml:space="preserve"> Framework (EQF)</w:t>
      </w:r>
    </w:p>
    <w:p w14:paraId="12E7912B" w14:textId="77777777" w:rsidR="0078411F" w:rsidRPr="0078411F" w:rsidRDefault="0078411F" w:rsidP="0078411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</w:pPr>
      <w:proofErr w:type="spellStart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>Each</w:t>
      </w:r>
      <w:proofErr w:type="spellEnd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 xml:space="preserve"> of the 8 </w:t>
      </w:r>
      <w:proofErr w:type="spellStart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>levels</w:t>
      </w:r>
      <w:proofErr w:type="spellEnd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>is</w:t>
      </w:r>
      <w:proofErr w:type="spellEnd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>defined</w:t>
      </w:r>
      <w:proofErr w:type="spellEnd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 xml:space="preserve"> by a set of </w:t>
      </w:r>
      <w:proofErr w:type="spellStart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>descriptors</w:t>
      </w:r>
      <w:proofErr w:type="spellEnd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>indicating</w:t>
      </w:r>
      <w:proofErr w:type="spellEnd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 xml:space="preserve"> the learning </w:t>
      </w:r>
      <w:proofErr w:type="spellStart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>outcomes</w:t>
      </w:r>
      <w:proofErr w:type="spellEnd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>relevant</w:t>
      </w:r>
      <w:proofErr w:type="spellEnd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 xml:space="preserve"> to </w:t>
      </w:r>
      <w:proofErr w:type="spellStart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>qualifications</w:t>
      </w:r>
      <w:proofErr w:type="spellEnd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>at</w:t>
      </w:r>
      <w:proofErr w:type="spellEnd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>that</w:t>
      </w:r>
      <w:proofErr w:type="spellEnd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>level</w:t>
      </w:r>
      <w:proofErr w:type="spellEnd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 xml:space="preserve"> in </w:t>
      </w:r>
      <w:proofErr w:type="spellStart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>any</w:t>
      </w:r>
      <w:proofErr w:type="spellEnd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 xml:space="preserve"> system of </w:t>
      </w:r>
      <w:proofErr w:type="spellStart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>qualifications</w:t>
      </w:r>
      <w:proofErr w:type="spellEnd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2543"/>
        <w:gridCol w:w="2972"/>
        <w:gridCol w:w="3070"/>
      </w:tblGrid>
      <w:tr w:rsidR="0078411F" w:rsidRPr="0078411F" w14:paraId="63CB9356" w14:textId="77777777" w:rsidTr="0078411F">
        <w:trPr>
          <w:tblHeader/>
        </w:trPr>
        <w:tc>
          <w:tcPr>
            <w:tcW w:w="0" w:type="auto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B8DBB0" w14:textId="77777777" w:rsidR="0078411F" w:rsidRPr="0078411F" w:rsidRDefault="0078411F" w:rsidP="00784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D0CA33" w14:textId="77777777" w:rsidR="0078411F" w:rsidRPr="0078411F" w:rsidRDefault="0078411F" w:rsidP="00784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Knowledge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E9E982" w14:textId="77777777" w:rsidR="0078411F" w:rsidRPr="0078411F" w:rsidRDefault="0078411F" w:rsidP="00784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Skills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AFF80A" w14:textId="77777777" w:rsidR="0078411F" w:rsidRPr="0078411F" w:rsidRDefault="0078411F" w:rsidP="00784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</w:pP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Responsibility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autonomy</w:t>
            </w:r>
            <w:proofErr w:type="spellEnd"/>
          </w:p>
        </w:tc>
      </w:tr>
      <w:tr w:rsidR="0078411F" w:rsidRPr="0078411F" w14:paraId="5C75D71A" w14:textId="77777777" w:rsidTr="0078411F">
        <w:trPr>
          <w:tblHeader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E04640" w14:textId="77777777" w:rsidR="0078411F" w:rsidRPr="0078411F" w:rsidRDefault="0078411F" w:rsidP="00784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F3D055" w14:textId="77777777" w:rsidR="0078411F" w:rsidRPr="0078411F" w:rsidRDefault="0078411F" w:rsidP="00784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In the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context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of EQF, knowledge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is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described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as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theoretical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and/or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factual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8C0082" w14:textId="77777777" w:rsidR="0078411F" w:rsidRPr="0078411F" w:rsidRDefault="0078411F" w:rsidP="00784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In the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context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of EQF, skills are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described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as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cognitive (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involving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the use of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logical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, intuitive and creative thinking)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practical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(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involving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manual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dexterity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and the use of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methods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,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materials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, tools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instruments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).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FC3478" w14:textId="77777777" w:rsidR="0078411F" w:rsidRPr="0078411F" w:rsidRDefault="0078411F" w:rsidP="00784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In the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context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of the EQF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responsibility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autonomy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is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described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as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the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ability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of the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learner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to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apply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knowledge and skills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autonomously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 xml:space="preserve"> and with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it-IT"/>
              </w:rPr>
              <w:t>responsibility</w:t>
            </w:r>
            <w:proofErr w:type="spellEnd"/>
          </w:p>
        </w:tc>
      </w:tr>
      <w:tr w:rsidR="0078411F" w:rsidRPr="0078411F" w14:paraId="3F6D3E0C" w14:textId="77777777" w:rsidTr="007841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FC9F5DC" w14:textId="77777777" w:rsidR="0078411F" w:rsidRPr="0078411F" w:rsidRDefault="0078411F" w:rsidP="00784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Level 1</w:t>
            </w:r>
          </w:p>
          <w:p w14:paraId="71E9C499" w14:textId="77777777" w:rsidR="0078411F" w:rsidRPr="0078411F" w:rsidRDefault="0078411F" w:rsidP="00784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The learning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outcomes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relevant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to Level 1 are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8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0280CF5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Basic general knowledge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8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B85D1B9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Basic skills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required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to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carry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out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simple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tasks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8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CB5AF5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Work or study under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direct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supervision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in a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structured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context</w:t>
            </w:r>
            <w:proofErr w:type="spellEnd"/>
          </w:p>
        </w:tc>
      </w:tr>
      <w:tr w:rsidR="0078411F" w:rsidRPr="0078411F" w14:paraId="38D60574" w14:textId="77777777" w:rsidTr="007841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F2326A" w14:textId="77777777" w:rsidR="0078411F" w:rsidRPr="0078411F" w:rsidRDefault="0078411F" w:rsidP="00784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Level 2</w:t>
            </w:r>
          </w:p>
          <w:p w14:paraId="52850777" w14:textId="77777777" w:rsidR="0078411F" w:rsidRPr="0078411F" w:rsidRDefault="0078411F" w:rsidP="00784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The learning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outcomes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relevant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to Level 2 are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47C3CD7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Basic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factual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knowledge of a field of work or study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D36F16D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Basic cognitive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practical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skills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required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to use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relevant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information in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order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to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carry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out tasks and to solve routine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problems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using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simple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rules and tools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FD8BCF5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Work or study under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supervision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with some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autonomy</w:t>
            </w:r>
            <w:proofErr w:type="spellEnd"/>
          </w:p>
        </w:tc>
      </w:tr>
      <w:tr w:rsidR="0078411F" w:rsidRPr="0078411F" w14:paraId="36B22FF6" w14:textId="77777777" w:rsidTr="007841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59C1620" w14:textId="77777777" w:rsidR="0078411F" w:rsidRPr="0078411F" w:rsidRDefault="0078411F" w:rsidP="00784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Level 3</w:t>
            </w:r>
          </w:p>
          <w:p w14:paraId="50097B14" w14:textId="77777777" w:rsidR="0078411F" w:rsidRPr="0078411F" w:rsidRDefault="0078411F" w:rsidP="00784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The learning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outcomes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relevant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to Level 3 are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8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6C3839D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Knowledge of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facts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,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principles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,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processes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 general concepts, in a field of work or study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8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9CCD3D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A range of cognitive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practical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skills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required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to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accomplish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tasks and solve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problems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by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selecting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applying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basic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methods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, tools,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materials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 information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8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7A87A2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Take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responsibility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for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completion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of tasks in work or study;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adapt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own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behaviour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to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circumstances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in solving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problems</w:t>
            </w:r>
            <w:proofErr w:type="spellEnd"/>
          </w:p>
        </w:tc>
      </w:tr>
      <w:tr w:rsidR="0078411F" w:rsidRPr="0078411F" w14:paraId="622BEFA1" w14:textId="77777777" w:rsidTr="007841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E6CF99" w14:textId="77777777" w:rsidR="0078411F" w:rsidRPr="0078411F" w:rsidRDefault="0078411F" w:rsidP="00784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Level 4</w:t>
            </w:r>
          </w:p>
          <w:p w14:paraId="6DB71B9D" w14:textId="77777777" w:rsidR="0078411F" w:rsidRPr="0078411F" w:rsidRDefault="0078411F" w:rsidP="00784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The learning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outcomes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relevant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to Level 4 are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4AB39C4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Factual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theoretical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knowledge in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broad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contexts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within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 field of work or study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7D3E50D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A range of cognitive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practical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skills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required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to generate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solutions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to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specific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problems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in a field of work or study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06FD2F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Exercise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self-management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within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the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guidelines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of work or study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contexts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that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are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usually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predictable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,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but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are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subject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to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change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;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supervise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the routine work of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others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,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taking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some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responsibility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for the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evaluation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improvement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of work or study activities</w:t>
            </w:r>
          </w:p>
        </w:tc>
      </w:tr>
      <w:tr w:rsidR="0078411F" w:rsidRPr="0078411F" w14:paraId="6EDA4C82" w14:textId="77777777" w:rsidTr="007841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A94E18F" w14:textId="77777777" w:rsidR="0078411F" w:rsidRPr="0078411F" w:rsidRDefault="0078411F" w:rsidP="00784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Level 5</w:t>
            </w:r>
            <w:hyperlink r:id="rId5" w:anchor="footnote1" w:history="1">
              <w:r w:rsidRPr="0078411F">
                <w:rPr>
                  <w:rFonts w:ascii="Times New Roman" w:eastAsia="Times New Roman" w:hAnsi="Times New Roman" w:cs="Times New Roman"/>
                  <w:color w:val="0065A2"/>
                  <w:sz w:val="12"/>
                  <w:szCs w:val="14"/>
                  <w:u w:val="single"/>
                  <w:lang w:eastAsia="it-IT"/>
                </w:rPr>
                <w:t>[1]</w:t>
              </w:r>
            </w:hyperlink>
          </w:p>
          <w:p w14:paraId="4C9DFE45" w14:textId="77777777" w:rsidR="0078411F" w:rsidRPr="0078411F" w:rsidRDefault="0078411F" w:rsidP="00784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The learning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outcomes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relevant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to Level 5 are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8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430764E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Comprehensive,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specialised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,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factual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theoretical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knowledge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within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 field of work or study and an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awareness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of the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boundaries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of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that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knowledge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8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23774FD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A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comprehensive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range of cognitive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practical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skills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required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to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develop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creative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solutions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to abstract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problems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8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8FE1E8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Exercise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management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supervision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in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contexts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of work or study activities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where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there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unpredictable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change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; review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develop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performance of self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others</w:t>
            </w:r>
            <w:proofErr w:type="spellEnd"/>
          </w:p>
        </w:tc>
      </w:tr>
      <w:tr w:rsidR="0078411F" w:rsidRPr="0078411F" w14:paraId="3A1C9786" w14:textId="77777777" w:rsidTr="007841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7B5FF27" w14:textId="77777777" w:rsidR="0078411F" w:rsidRPr="0078411F" w:rsidRDefault="0078411F" w:rsidP="00784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Level 6</w:t>
            </w:r>
            <w:hyperlink r:id="rId6" w:anchor="footnote2" w:history="1">
              <w:r w:rsidRPr="0078411F">
                <w:rPr>
                  <w:rFonts w:ascii="Times New Roman" w:eastAsia="Times New Roman" w:hAnsi="Times New Roman" w:cs="Times New Roman"/>
                  <w:color w:val="0065A2"/>
                  <w:sz w:val="12"/>
                  <w:szCs w:val="14"/>
                  <w:u w:val="single"/>
                  <w:lang w:eastAsia="it-IT"/>
                </w:rPr>
                <w:t>[2]</w:t>
              </w:r>
            </w:hyperlink>
          </w:p>
          <w:p w14:paraId="2C0A529C" w14:textId="77777777" w:rsidR="0078411F" w:rsidRPr="0078411F" w:rsidRDefault="0078411F" w:rsidP="00784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The learning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outcomes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lastRenderedPageBreak/>
              <w:t>relevant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to Level 6 are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310038A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lastRenderedPageBreak/>
              <w:t xml:space="preserve">Advanced knowledge of a field of work or study,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involving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critical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understanding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of theories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principles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86488F2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Advanced skills,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demonstrating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mastery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innovation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,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required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to solve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complex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unpredictable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lastRenderedPageBreak/>
              <w:t>problems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in a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specialised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field of work or study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E66E28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lastRenderedPageBreak/>
              <w:t>Manage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complex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technical or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professional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activities or projects,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taking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responsibility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for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decision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-making in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unpredictable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work or study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lastRenderedPageBreak/>
              <w:t>contexts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; take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responsibility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for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managing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professional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development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of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individuals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 groups</w:t>
            </w:r>
          </w:p>
        </w:tc>
      </w:tr>
      <w:tr w:rsidR="0078411F" w:rsidRPr="0078411F" w14:paraId="4E4ACFDB" w14:textId="77777777" w:rsidTr="007841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5EDC2D9" w14:textId="77777777" w:rsidR="0078411F" w:rsidRPr="0078411F" w:rsidRDefault="0078411F" w:rsidP="00784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lastRenderedPageBreak/>
              <w:t>Level 7</w:t>
            </w:r>
            <w:hyperlink r:id="rId7" w:anchor="footnote3" w:history="1">
              <w:r w:rsidRPr="0078411F">
                <w:rPr>
                  <w:rFonts w:ascii="Times New Roman" w:eastAsia="Times New Roman" w:hAnsi="Times New Roman" w:cs="Times New Roman"/>
                  <w:color w:val="0065A2"/>
                  <w:sz w:val="12"/>
                  <w:szCs w:val="14"/>
                  <w:u w:val="single"/>
                  <w:lang w:eastAsia="it-IT"/>
                </w:rPr>
                <w:t>[3]</w:t>
              </w:r>
            </w:hyperlink>
          </w:p>
          <w:p w14:paraId="3D58F080" w14:textId="77777777" w:rsidR="0078411F" w:rsidRPr="0078411F" w:rsidRDefault="0078411F" w:rsidP="00784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The learning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outcomes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relevant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to Level 7 are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8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80F271C" w14:textId="77777777" w:rsidR="0078411F" w:rsidRPr="0078411F" w:rsidRDefault="0078411F" w:rsidP="007841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Highly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specialised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knowledge, some of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which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is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at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the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forefront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of knowledge in a field of work or study,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as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the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basis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for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original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thinking and/or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research</w:t>
            </w:r>
            <w:proofErr w:type="spellEnd"/>
          </w:p>
          <w:p w14:paraId="185C1106" w14:textId="77777777" w:rsidR="0078411F" w:rsidRPr="0078411F" w:rsidRDefault="0078411F" w:rsidP="007841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Critical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awareness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of knowledge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issues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in a field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at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the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interface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between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different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fields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8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05E155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Specialised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problem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-solving skills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required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in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research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and/or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innovation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in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order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to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develop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new knowledge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procedures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 to integrate knowledge from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different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fields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8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FA23EAA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Manage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transform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work or study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contexts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that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are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complex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,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unpredictable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require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new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strategic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approaches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; take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responsibility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for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contributing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to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professional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knowledge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practice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and/or for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reviewing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the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strategic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performance of teams</w:t>
            </w:r>
          </w:p>
        </w:tc>
      </w:tr>
      <w:tr w:rsidR="0078411F" w:rsidRPr="0078411F" w14:paraId="19E2041C" w14:textId="77777777" w:rsidTr="0078411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14E511" w14:textId="77777777" w:rsidR="0078411F" w:rsidRPr="0078411F" w:rsidRDefault="0078411F" w:rsidP="00784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Level 8</w:t>
            </w:r>
            <w:hyperlink r:id="rId8" w:anchor="footnote4" w:history="1">
              <w:r w:rsidRPr="0078411F">
                <w:rPr>
                  <w:rFonts w:ascii="Times New Roman" w:eastAsia="Times New Roman" w:hAnsi="Times New Roman" w:cs="Times New Roman"/>
                  <w:color w:val="0065A2"/>
                  <w:sz w:val="12"/>
                  <w:szCs w:val="14"/>
                  <w:u w:val="single"/>
                  <w:lang w:eastAsia="it-IT"/>
                </w:rPr>
                <w:t>[4]</w:t>
              </w:r>
            </w:hyperlink>
          </w:p>
          <w:p w14:paraId="67A49537" w14:textId="77777777" w:rsidR="0078411F" w:rsidRPr="0078411F" w:rsidRDefault="0078411F" w:rsidP="00784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The learning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outcomes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>relevant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 w:val="16"/>
                <w:szCs w:val="18"/>
                <w:lang w:eastAsia="it-IT"/>
              </w:rPr>
              <w:t xml:space="preserve"> to Level 8 are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FD493B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Knowledge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the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most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advanced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frontier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of a field of work or study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the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interface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between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fields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EF25A4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The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most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advanced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specialised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skills and techniques,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including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synthesis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evaluation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,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required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to solve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critical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problems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in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research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and/or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innovation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 to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extend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redefine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existing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knowledge or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professional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practice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83C9D0" w14:textId="77777777" w:rsidR="0078411F" w:rsidRPr="0078411F" w:rsidRDefault="0078411F" w:rsidP="007841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Demonstrate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substantial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authority,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innovation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,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autonomy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,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scholarly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professional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integrity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and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sustained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commitment to the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development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of new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ideas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or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processes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the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forefront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of work or study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contexts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including</w:t>
            </w:r>
            <w:proofErr w:type="spellEnd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</w:t>
            </w:r>
            <w:proofErr w:type="spellStart"/>
            <w:r w:rsidRPr="0078411F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research</w:t>
            </w:r>
            <w:proofErr w:type="spellEnd"/>
          </w:p>
        </w:tc>
      </w:tr>
    </w:tbl>
    <w:p w14:paraId="0EC46DF5" w14:textId="77777777" w:rsidR="0078411F" w:rsidRPr="0078411F" w:rsidRDefault="0078411F" w:rsidP="0078411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</w:pPr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 </w:t>
      </w:r>
    </w:p>
    <w:p w14:paraId="20BB03EE" w14:textId="77777777" w:rsidR="0078411F" w:rsidRPr="0078411F" w:rsidRDefault="0078411F" w:rsidP="0078411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</w:pPr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 xml:space="preserve">Compatibility with the Framework for </w:t>
      </w:r>
      <w:proofErr w:type="spellStart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>Qualifications</w:t>
      </w:r>
      <w:proofErr w:type="spellEnd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 xml:space="preserve"> of the </w:t>
      </w:r>
      <w:proofErr w:type="spellStart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>European</w:t>
      </w:r>
      <w:proofErr w:type="spellEnd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>Higher</w:t>
      </w:r>
      <w:proofErr w:type="spellEnd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>Education</w:t>
      </w:r>
      <w:proofErr w:type="spellEnd"/>
      <w:r w:rsidRPr="0078411F">
        <w:rPr>
          <w:rFonts w:ascii="Verdana" w:eastAsia="Times New Roman" w:hAnsi="Verdana" w:cs="Times New Roman"/>
          <w:b/>
          <w:bCs/>
          <w:color w:val="424242"/>
          <w:sz w:val="16"/>
          <w:szCs w:val="18"/>
          <w:lang w:eastAsia="it-IT"/>
        </w:rPr>
        <w:t xml:space="preserve"> Area</w:t>
      </w:r>
    </w:p>
    <w:p w14:paraId="41929694" w14:textId="77777777" w:rsidR="0078411F" w:rsidRPr="0078411F" w:rsidRDefault="0078411F" w:rsidP="0078411F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</w:pPr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The Framework for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Qualifications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of the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European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Higher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Education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Area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provides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descriptors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for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three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cycles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agreed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by the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ministers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responsible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for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higher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education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at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their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meeting in Bergen in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May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2005 in the framework of the Bologna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process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.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Each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cycle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descriptor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offers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a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generic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statement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of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typical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expectations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of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achievements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and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abilities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associated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with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qualifications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that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represent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the end of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that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cycle</w:t>
      </w:r>
      <w:proofErr w:type="spellEnd"/>
      <w:r w:rsidRPr="0078411F">
        <w:rPr>
          <w:rFonts w:ascii="Verdana" w:eastAsia="Times New Roman" w:hAnsi="Verdana" w:cs="Times New Roman"/>
          <w:color w:val="424242"/>
          <w:sz w:val="16"/>
          <w:szCs w:val="18"/>
          <w:lang w:eastAsia="it-IT"/>
        </w:rPr>
        <w:t>.</w:t>
      </w:r>
    </w:p>
    <w:p w14:paraId="2FA792CB" w14:textId="77777777" w:rsidR="0078411F" w:rsidRPr="0078411F" w:rsidRDefault="0078411F" w:rsidP="00784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</w:pPr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The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descriptor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for the short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cycle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developed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by the Joint Quality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Initiative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as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part of the Bologna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process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, (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within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or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linked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to the first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cycle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),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corresponds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to the learning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outcomes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for EQF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level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5.</w:t>
      </w:r>
    </w:p>
    <w:p w14:paraId="4AB74638" w14:textId="77777777" w:rsidR="0078411F" w:rsidRPr="0078411F" w:rsidRDefault="0078411F" w:rsidP="00784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</w:pPr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The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descriptor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for the first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cycle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corresponds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to the learning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outcomes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for EQF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level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6. </w:t>
      </w:r>
    </w:p>
    <w:p w14:paraId="740DAF54" w14:textId="77777777" w:rsidR="0078411F" w:rsidRPr="0078411F" w:rsidRDefault="0078411F" w:rsidP="00784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</w:pPr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The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descriptor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for the second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cycle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corresponds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to the learning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outcomes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for EQF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level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7.</w:t>
      </w:r>
    </w:p>
    <w:p w14:paraId="4C0C1350" w14:textId="77777777" w:rsidR="0078411F" w:rsidRPr="0078411F" w:rsidRDefault="0078411F" w:rsidP="00784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</w:pPr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The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descriptor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for the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third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cycle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corresponds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to the learning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outcomes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for EQF </w:t>
      </w:r>
      <w:proofErr w:type="spellStart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>level</w:t>
      </w:r>
      <w:proofErr w:type="spellEnd"/>
      <w:r w:rsidRPr="0078411F">
        <w:rPr>
          <w:rFonts w:ascii="Verdana" w:eastAsia="Times New Roman" w:hAnsi="Verdana" w:cs="Times New Roman"/>
          <w:color w:val="333333"/>
          <w:sz w:val="16"/>
          <w:szCs w:val="18"/>
          <w:lang w:eastAsia="it-IT"/>
        </w:rPr>
        <w:t xml:space="preserve"> 8.</w:t>
      </w:r>
    </w:p>
    <w:p w14:paraId="030E1B99" w14:textId="77777777" w:rsidR="0078411F" w:rsidRDefault="0078411F"/>
    <w:p w14:paraId="34987041" w14:textId="77777777" w:rsidR="0078411F" w:rsidRDefault="0078411F"/>
    <w:p w14:paraId="02DEF50B" w14:textId="38745ACE" w:rsidR="00AA47AC" w:rsidRDefault="0078411F">
      <w:r>
        <w:t xml:space="preserve">Source </w:t>
      </w:r>
      <w:proofErr w:type="spellStart"/>
      <w:r>
        <w:t>European</w:t>
      </w:r>
      <w:proofErr w:type="spellEnd"/>
      <w:r>
        <w:t xml:space="preserve"> Commission: </w:t>
      </w:r>
      <w:bookmarkStart w:id="0" w:name="_GoBack"/>
      <w:bookmarkEnd w:id="0"/>
      <w:r>
        <w:fldChar w:fldCharType="begin"/>
      </w:r>
      <w:r>
        <w:instrText xml:space="preserve"> HYPERLINK "https://ec.europa.eu/ploteus/en/content/descriptors-page" </w:instrText>
      </w:r>
      <w:r>
        <w:fldChar w:fldCharType="separate"/>
      </w:r>
      <w:r>
        <w:rPr>
          <w:rStyle w:val="Collegamentoipertestuale"/>
        </w:rPr>
        <w:t>https://ec.europa.eu/ploteus/en/content/descriptors-page</w:t>
      </w:r>
      <w:r>
        <w:fldChar w:fldCharType="end"/>
      </w:r>
    </w:p>
    <w:sectPr w:rsidR="00AA4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D43A4"/>
    <w:multiLevelType w:val="multilevel"/>
    <w:tmpl w:val="7898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48"/>
    <w:rsid w:val="006A3948"/>
    <w:rsid w:val="0078411F"/>
    <w:rsid w:val="00AA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2395"/>
  <w15:chartTrackingRefBased/>
  <w15:docId w15:val="{7908AF52-891D-4679-B50A-DB48447B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84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3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7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69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5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2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7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51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6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24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loteus/en/content/descriptors-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ploteus/en/content/descriptors-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ploteus/en/content/descriptors-page" TargetMode="External"/><Relationship Id="rId5" Type="http://schemas.openxmlformats.org/officeDocument/2006/relationships/hyperlink" Target="https://ec.europa.eu/ploteus/en/content/descriptors-pa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Cortellezzi</dc:creator>
  <cp:keywords/>
  <dc:description/>
  <cp:lastModifiedBy>Arianna Cortellezzi</cp:lastModifiedBy>
  <cp:revision>2</cp:revision>
  <cp:lastPrinted>2019-10-11T15:49:00Z</cp:lastPrinted>
  <dcterms:created xsi:type="dcterms:W3CDTF">2019-10-11T15:47:00Z</dcterms:created>
  <dcterms:modified xsi:type="dcterms:W3CDTF">2019-10-11T15:51:00Z</dcterms:modified>
</cp:coreProperties>
</file>